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54" w:rsidRPr="00936BE9" w:rsidRDefault="00B36537" w:rsidP="00B36537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  <w:lang w:eastAsia="ar-SA"/>
        </w:rPr>
      </w:pPr>
      <w:r w:rsidRPr="00B36537">
        <w:rPr>
          <w:b/>
          <w:i/>
          <w:sz w:val="22"/>
          <w:szCs w:val="22"/>
          <w:lang w:eastAsia="ar-SA"/>
        </w:rPr>
        <w:t xml:space="preserve">             </w:t>
      </w:r>
      <w:r w:rsidR="00B838B3">
        <w:rPr>
          <w:b/>
          <w:i/>
          <w:sz w:val="22"/>
          <w:szCs w:val="22"/>
          <w:lang w:eastAsia="ar-SA"/>
        </w:rPr>
        <w:t xml:space="preserve">                     </w:t>
      </w:r>
      <w:r w:rsidR="00CC2A9D">
        <w:rPr>
          <w:sz w:val="22"/>
          <w:szCs w:val="22"/>
          <w:lang w:eastAsia="ar-SA"/>
        </w:rPr>
        <w:t xml:space="preserve">Приложение № </w:t>
      </w:r>
      <w:r w:rsidR="00377735">
        <w:rPr>
          <w:sz w:val="22"/>
          <w:szCs w:val="22"/>
          <w:lang w:eastAsia="ar-SA"/>
        </w:rPr>
        <w:t>8</w:t>
      </w:r>
      <w:r w:rsidR="00CC2A9D">
        <w:rPr>
          <w:sz w:val="22"/>
          <w:szCs w:val="22"/>
          <w:lang w:eastAsia="ar-SA"/>
        </w:rPr>
        <w:t xml:space="preserve"> к договору </w:t>
      </w:r>
      <w:r w:rsidR="00B838B3" w:rsidRPr="00377735">
        <w:rPr>
          <w:sz w:val="22"/>
          <w:szCs w:val="22"/>
          <w:lang w:eastAsia="ar-SA"/>
        </w:rPr>
        <w:t>№</w:t>
      </w:r>
      <w:r w:rsidR="00B838B3">
        <w:rPr>
          <w:sz w:val="22"/>
          <w:szCs w:val="22"/>
          <w:u w:val="single"/>
          <w:lang w:eastAsia="ar-SA"/>
        </w:rPr>
        <w:t xml:space="preserve">                                                   </w:t>
      </w:r>
      <w:r w:rsidR="00B838B3">
        <w:rPr>
          <w:sz w:val="22"/>
          <w:szCs w:val="22"/>
          <w:lang w:eastAsia="ar-SA"/>
        </w:rPr>
        <w:t xml:space="preserve"> </w:t>
      </w:r>
      <w:r w:rsidR="00CC2A9D">
        <w:rPr>
          <w:sz w:val="22"/>
          <w:szCs w:val="22"/>
          <w:lang w:eastAsia="ar-SA"/>
        </w:rPr>
        <w:t>от _______ 202</w:t>
      </w:r>
      <w:r w:rsidR="00C167B7">
        <w:rPr>
          <w:sz w:val="22"/>
          <w:szCs w:val="22"/>
          <w:lang w:eastAsia="ar-SA"/>
        </w:rPr>
        <w:t>3</w:t>
      </w:r>
      <w:r w:rsidRPr="00936BE9">
        <w:rPr>
          <w:sz w:val="22"/>
          <w:szCs w:val="22"/>
          <w:lang w:eastAsia="ar-SA"/>
        </w:rPr>
        <w:t>г</w:t>
      </w:r>
    </w:p>
    <w:p w:rsidR="00C67654" w:rsidRPr="00C67654" w:rsidRDefault="00C67654" w:rsidP="00B838B3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2"/>
          <w:szCs w:val="22"/>
        </w:rPr>
      </w:pPr>
      <w:r w:rsidRPr="00216416">
        <w:rPr>
          <w:b/>
          <w:sz w:val="22"/>
          <w:szCs w:val="22"/>
        </w:rPr>
        <w:t>Методика определения коэффициента частоты травм с утратой трудоспособности (LTIFR)</w:t>
      </w:r>
      <w:r>
        <w:rPr>
          <w:b/>
          <w:sz w:val="22"/>
          <w:szCs w:val="22"/>
        </w:rPr>
        <w:t xml:space="preserve"> </w:t>
      </w:r>
      <w:r w:rsidRPr="00216416">
        <w:rPr>
          <w:b/>
          <w:sz w:val="22"/>
          <w:szCs w:val="22"/>
        </w:rPr>
        <w:t>организациями Группы для целей бизнес-планирования и подготовки отчетности»</w:t>
      </w:r>
    </w:p>
    <w:p w:rsidR="00C67654" w:rsidRPr="00216416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0" w:name="_Toc61878704"/>
      <w:r w:rsidRPr="00216416">
        <w:rPr>
          <w:rFonts w:ascii="Times New Roman" w:hAnsi="Times New Roman"/>
          <w:sz w:val="24"/>
          <w:szCs w:val="24"/>
        </w:rPr>
        <w:t>Общие положения</w:t>
      </w:r>
      <w:bookmarkEnd w:id="0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) всеми организациями Группы с разделением на Сотрудников и </w:t>
      </w:r>
      <w:r w:rsidR="003B7FA9">
        <w:rPr>
          <w:b w:val="0"/>
          <w:i w:val="0"/>
          <w:color w:val="000000" w:themeColor="text1"/>
          <w:sz w:val="24"/>
          <w:szCs w:val="24"/>
        </w:rPr>
        <w:t>Субподрядчик</w:t>
      </w:r>
      <w:r w:rsidRPr="00B36537">
        <w:rPr>
          <w:b w:val="0"/>
          <w:i w:val="0"/>
          <w:color w:val="000000" w:themeColor="text1"/>
          <w:sz w:val="24"/>
          <w:szCs w:val="24"/>
        </w:rPr>
        <w:t>ов.</w:t>
      </w:r>
    </w:p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1" w:name="_Toc61878705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Термины и определения</w:t>
      </w:r>
      <w:bookmarkEnd w:id="1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№ п/п</w:t>
            </w: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Термин/сокращение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Определение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right="314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Группа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Менеджмент Группы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36537">
              <w:rPr>
                <w:color w:val="000000" w:themeColor="text1"/>
              </w:rPr>
              <w:t>МКООО «Эн+ Холдинг» и другие)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Финансовый департамент АО «ЕвроСибЭнерго»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Ответственный работник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Бизнес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Организация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Сотрудник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3B7FA9" w:rsidP="005077E6">
            <w:pPr>
              <w:spacing w:before="60" w:after="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Субподрядчик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Внимание! Для целей корректного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3B7FA9">
              <w:rPr>
                <w:color w:val="000000" w:themeColor="text1"/>
                <w:lang w:val="ru-RU"/>
              </w:rPr>
              <w:t>Субподрядчик</w:t>
            </w:r>
            <w:r w:rsidRPr="00B36537">
              <w:rPr>
                <w:color w:val="000000" w:themeColor="text1"/>
                <w:lang w:val="ru-RU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Регламент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 (Lost Time Injury)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Травма, повлекшая временную или стойкую утрату трудоспособности.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Внимание! Для целей корректного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36537">
              <w:rPr>
                <w:color w:val="000000" w:themeColor="text1"/>
              </w:rPr>
              <w:t>LTI</w:t>
            </w:r>
            <w:r w:rsidRPr="00B36537">
              <w:rPr>
                <w:color w:val="000000" w:themeColor="text1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F (Fatality)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Травма, повлекшая смерть пострадавшего.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 (Lost Time Incident Frequency Rate)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Коэффициент частоты травм с утратой трудоспособности (на каждые 200</w:t>
            </w:r>
            <w:r w:rsidRPr="00B36537">
              <w:rPr>
                <w:color w:val="000000" w:themeColor="text1"/>
              </w:rPr>
              <w:t> </w:t>
            </w:r>
            <w:r w:rsidRPr="00B36537">
              <w:rPr>
                <w:color w:val="000000" w:themeColor="text1"/>
                <w:lang w:val="ru-RU"/>
              </w:rPr>
              <w:t>000 человеко-часов), определяемый по формуле: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 = (LTI+F)/ФЧЧ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</w:rPr>
              <w:t>200000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LTIFR_план_1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Плановый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Организации в текущем году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Плановый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Организации на следующий год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Суммарное количество рабочих часов, фактически отработанных Сотрудниками или </w:t>
            </w:r>
            <w:r w:rsidR="003B7FA9">
              <w:rPr>
                <w:color w:val="000000" w:themeColor="text1"/>
                <w:lang w:val="ru-RU"/>
              </w:rPr>
              <w:t>Субподрядчик</w:t>
            </w:r>
            <w:r w:rsidRPr="00B36537">
              <w:rPr>
                <w:color w:val="000000" w:themeColor="text1"/>
                <w:lang w:val="ru-RU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2" w:name="_Toc61878706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Планирование</w:t>
      </w:r>
      <w:bookmarkEnd w:id="2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Энергетическому сегменту Группы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Плановый (целевой)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Бизнесам/Организациям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</w:t>
      </w:r>
      <w:r w:rsidRPr="00B36537">
        <w:rPr>
          <w:b w:val="0"/>
          <w:i w:val="0"/>
          <w:color w:val="000000" w:themeColor="text1"/>
          <w:sz w:val="24"/>
          <w:szCs w:val="24"/>
        </w:rPr>
        <w:lastRenderedPageBreak/>
        <w:t>корректировке бизнес-процесса в случае выявления отклонений в срок до 10 декабря года, предшествующего планируемому.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36537" w:rsidRPr="00B36537" w:rsidTr="005077E6">
        <w:tc>
          <w:tcPr>
            <w:tcW w:w="4672" w:type="dxa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C67654" w:rsidRPr="00B36537" w:rsidTr="005077E6">
        <w:tc>
          <w:tcPr>
            <w:tcW w:w="4672" w:type="dxa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ФЧЧ_прогноз = ФЧЧ_факт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  <w:lang w:val="ru-RU"/>
              </w:rPr>
              <w:t>12/11            (1)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ФЧЧ_прогноз = ФЧЧ_факт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  <w:lang w:val="ru-RU"/>
              </w:rPr>
              <w:t>4/3                 (2)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Определяется прогнозное значение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>_прогноз = (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_факт +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_факт)/ФЧЧ_прогноз </w:t>
      </w:r>
      <w:r w:rsidRPr="00B36537">
        <w:rPr>
          <w:color w:val="000000" w:themeColor="text1"/>
        </w:rPr>
        <w:sym w:font="Symbol" w:char="F0D7"/>
      </w:r>
      <w:r w:rsidRPr="00B36537">
        <w:rPr>
          <w:color w:val="000000" w:themeColor="text1"/>
          <w:sz w:val="24"/>
          <w:szCs w:val="24"/>
        </w:rPr>
        <w:t xml:space="preserve"> 200 000</w:t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  <w:t xml:space="preserve">         (3)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</w:rPr>
        <w:t xml:space="preserve">где 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_факт и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_факт – фактическое количество зафиксированных ДОТ случаев 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 и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 на момент выполнения расчета.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на следующий год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B36537" w:rsidRPr="00B36537" w:rsidTr="005077E6">
        <w:tc>
          <w:tcPr>
            <w:tcW w:w="2263" w:type="dxa"/>
            <w:vMerge w:val="restart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B36537">
              <w:rPr>
                <w:color w:val="000000" w:themeColor="text1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</w:tr>
      <w:tr w:rsidR="00B36537" w:rsidRPr="00B36537" w:rsidTr="005077E6">
        <w:tc>
          <w:tcPr>
            <w:tcW w:w="2263" w:type="dxa"/>
            <w:vMerge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_прогноз &lt;=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_прогноз &gt;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</w:tr>
      <w:tr w:rsidR="00B36537" w:rsidRPr="00B36537" w:rsidTr="005077E6">
        <w:tc>
          <w:tcPr>
            <w:tcW w:w="5098" w:type="dxa"/>
            <w:gridSpan w:val="2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 = LTIFR_прогноз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</w:rPr>
              <w:t xml:space="preserve"> 90%             (4)</w:t>
            </w:r>
          </w:p>
        </w:tc>
        <w:tc>
          <w:tcPr>
            <w:tcW w:w="4247" w:type="dxa"/>
          </w:tcPr>
          <w:p w:rsidR="00C67654" w:rsidRPr="00B36537" w:rsidRDefault="00C67654" w:rsidP="005077E6">
            <w:pPr>
              <w:spacing w:before="60" w:after="60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 = LTIFR_план_1     (5)</w:t>
            </w:r>
          </w:p>
        </w:tc>
      </w:tr>
    </w:tbl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_биз_2: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>_биз_2 = ∑(</w:t>
      </w: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 xml:space="preserve">_план_2 </w:t>
      </w:r>
      <w:r w:rsidRPr="00B36537">
        <w:rPr>
          <w:color w:val="000000" w:themeColor="text1"/>
          <w:sz w:val="24"/>
          <w:szCs w:val="24"/>
          <w:lang w:val="en-US"/>
        </w:rPr>
        <w:sym w:font="Symbol" w:char="F0D7"/>
      </w:r>
      <w:r w:rsidRPr="00B36537">
        <w:rPr>
          <w:color w:val="000000" w:themeColor="text1"/>
          <w:sz w:val="24"/>
          <w:szCs w:val="24"/>
        </w:rPr>
        <w:t xml:space="preserve"> ФЧЧ_прогноз)/ ∑(ФЧЧ_прогноз) </w:t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  <w:t xml:space="preserve">         (6)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В случае, если плановый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lastRenderedPageBreak/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3" w:name="_Toc61878707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Отчетность</w:t>
      </w:r>
      <w:bookmarkEnd w:id="3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Энергетическому сегменту Группы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Бизнесам/Организациям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В соответствии с табл. 1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Организация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Ежемесячно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Ежеквартально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6"/>
        <w:gridCol w:w="1317"/>
        <w:gridCol w:w="1313"/>
        <w:gridCol w:w="1310"/>
        <w:gridCol w:w="1316"/>
        <w:gridCol w:w="1313"/>
        <w:gridCol w:w="1310"/>
      </w:tblGrid>
      <w:tr w:rsidR="00B36537" w:rsidRPr="00B36537" w:rsidTr="005077E6">
        <w:tc>
          <w:tcPr>
            <w:tcW w:w="1335" w:type="dxa"/>
            <w:vMerge w:val="restart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:rsidR="00C67654" w:rsidRPr="00B36537" w:rsidRDefault="003B7FA9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i w:val="0"/>
                <w:color w:val="000000" w:themeColor="text1"/>
                <w:sz w:val="20"/>
                <w:szCs w:val="20"/>
              </w:rPr>
              <w:t>Субподрядчик</w:t>
            </w:r>
          </w:p>
        </w:tc>
      </w:tr>
      <w:tr w:rsidR="00B36537" w:rsidRPr="00B36537" w:rsidTr="005077E6">
        <w:tc>
          <w:tcPr>
            <w:tcW w:w="1335" w:type="dxa"/>
            <w:vMerge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F</w:t>
            </w:r>
          </w:p>
        </w:tc>
      </w:tr>
      <w:tr w:rsidR="00B36537" w:rsidRPr="00B36537" w:rsidTr="005077E6"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C67654" w:rsidRPr="00B36537" w:rsidRDefault="00C67654" w:rsidP="00C67654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lastRenderedPageBreak/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C67654" w:rsidRPr="00B36537" w:rsidRDefault="00C67654" w:rsidP="00C67654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C67654" w:rsidRDefault="00C67654" w:rsidP="00C67654">
      <w:pPr>
        <w:pStyle w:val="a3"/>
        <w:spacing w:before="120"/>
        <w:rPr>
          <w:sz w:val="24"/>
          <w:szCs w:val="24"/>
        </w:rPr>
      </w:pPr>
    </w:p>
    <w:p w:rsidR="00C67654" w:rsidRPr="00C67654" w:rsidRDefault="00C67654" w:rsidP="00C67654">
      <w:pPr>
        <w:ind w:right="-144" w:firstLine="567"/>
        <w:jc w:val="center"/>
        <w:rPr>
          <w:b/>
          <w:sz w:val="24"/>
          <w:szCs w:val="24"/>
        </w:rPr>
      </w:pPr>
      <w:r w:rsidRPr="00C67654">
        <w:rPr>
          <w:b/>
          <w:sz w:val="24"/>
          <w:szCs w:val="24"/>
        </w:rPr>
        <w:t>Подписи Сторон</w:t>
      </w:r>
    </w:p>
    <w:p w:rsidR="00C67654" w:rsidRPr="00C67654" w:rsidRDefault="00C67654" w:rsidP="00C67654">
      <w:pPr>
        <w:ind w:right="-144" w:firstLine="567"/>
        <w:jc w:val="center"/>
        <w:rPr>
          <w:b/>
          <w:sz w:val="24"/>
          <w:szCs w:val="24"/>
        </w:rPr>
      </w:pPr>
    </w:p>
    <w:p w:rsidR="00C67654" w:rsidRPr="00C67654" w:rsidRDefault="003B7FA9" w:rsidP="001642B6">
      <w:pPr>
        <w:ind w:right="-144" w:firstLine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Генподрядчик</w:t>
      </w:r>
      <w:r w:rsidR="00C67654" w:rsidRPr="00C67654">
        <w:rPr>
          <w:b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b/>
          <w:color w:val="000000"/>
          <w:sz w:val="24"/>
          <w:szCs w:val="24"/>
        </w:rPr>
        <w:t>Субподрядчик</w:t>
      </w:r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9572"/>
        <w:gridCol w:w="222"/>
      </w:tblGrid>
      <w:tr w:rsidR="00B838B3" w:rsidRPr="00F45548" w:rsidTr="0038164F">
        <w:trPr>
          <w:trHeight w:val="2070"/>
        </w:trPr>
        <w:tc>
          <w:tcPr>
            <w:tcW w:w="4607" w:type="dxa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B838B3" w:rsidRPr="0000774A" w:rsidTr="00B838B3">
              <w:trPr>
                <w:trHeight w:val="2070"/>
              </w:trPr>
              <w:tc>
                <w:tcPr>
                  <w:tcW w:w="4607" w:type="dxa"/>
                </w:tcPr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contextualSpacing/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_____________________________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  <w:u w:val="single"/>
                    </w:rPr>
                  </w:pPr>
                  <w:r w:rsidRPr="0000774A">
                    <w:rPr>
                      <w:sz w:val="22"/>
                      <w:szCs w:val="22"/>
                      <w:u w:val="single"/>
                    </w:rPr>
                    <w:t>______________________________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________________ 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B838B3" w:rsidRPr="0000774A" w:rsidRDefault="00B838B3" w:rsidP="00C167B7">
                  <w:pPr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«___»   _____________ 202</w:t>
                  </w:r>
                  <w:r w:rsidR="00C167B7">
                    <w:rPr>
                      <w:sz w:val="22"/>
                      <w:szCs w:val="22"/>
                    </w:rPr>
                    <w:t>3</w:t>
                  </w:r>
                  <w:r w:rsidRPr="0000774A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749" w:type="dxa"/>
                </w:tcPr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 xml:space="preserve">     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377735">
                    <w:rPr>
                      <w:sz w:val="22"/>
                      <w:szCs w:val="22"/>
                    </w:rPr>
                    <w:t>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B838B3" w:rsidRPr="0000774A" w:rsidRDefault="00B838B3" w:rsidP="00C167B7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«___»   _____________ 202</w:t>
                  </w:r>
                  <w:r w:rsidR="00C167B7">
                    <w:rPr>
                      <w:sz w:val="22"/>
                      <w:szCs w:val="22"/>
                    </w:rPr>
                    <w:t>3</w:t>
                  </w:r>
                  <w:bookmarkStart w:id="4" w:name="_GoBack"/>
                  <w:bookmarkEnd w:id="4"/>
                  <w:r w:rsidRPr="0000774A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:rsidR="00B838B3" w:rsidRDefault="00B838B3" w:rsidP="00B838B3"/>
        </w:tc>
        <w:tc>
          <w:tcPr>
            <w:tcW w:w="4749" w:type="dxa"/>
          </w:tcPr>
          <w:p w:rsidR="00B838B3" w:rsidRDefault="00B838B3" w:rsidP="00B838B3"/>
        </w:tc>
      </w:tr>
    </w:tbl>
    <w:p w:rsidR="006C2CDF" w:rsidRDefault="00C167B7"/>
    <w:sectPr w:rsidR="006C2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5CB" w:rsidRDefault="003145CB" w:rsidP="00C67654">
      <w:r>
        <w:separator/>
      </w:r>
    </w:p>
  </w:endnote>
  <w:endnote w:type="continuationSeparator" w:id="0">
    <w:p w:rsidR="003145CB" w:rsidRDefault="003145CB" w:rsidP="00C6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5CB" w:rsidRDefault="003145CB" w:rsidP="00C67654">
      <w:r>
        <w:separator/>
      </w:r>
    </w:p>
  </w:footnote>
  <w:footnote w:type="continuationSeparator" w:id="0">
    <w:p w:rsidR="003145CB" w:rsidRDefault="003145CB" w:rsidP="00C6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54"/>
    <w:rsid w:val="00050371"/>
    <w:rsid w:val="0015644E"/>
    <w:rsid w:val="001642B6"/>
    <w:rsid w:val="00165A46"/>
    <w:rsid w:val="001D061A"/>
    <w:rsid w:val="003145CB"/>
    <w:rsid w:val="00377735"/>
    <w:rsid w:val="003B7FA9"/>
    <w:rsid w:val="003E3BD0"/>
    <w:rsid w:val="004E07B3"/>
    <w:rsid w:val="006F1A75"/>
    <w:rsid w:val="006F431A"/>
    <w:rsid w:val="00707C83"/>
    <w:rsid w:val="00847C27"/>
    <w:rsid w:val="008741D8"/>
    <w:rsid w:val="00936BE9"/>
    <w:rsid w:val="009F0EC0"/>
    <w:rsid w:val="00A12121"/>
    <w:rsid w:val="00B26254"/>
    <w:rsid w:val="00B36537"/>
    <w:rsid w:val="00B838B3"/>
    <w:rsid w:val="00C12360"/>
    <w:rsid w:val="00C167B7"/>
    <w:rsid w:val="00C37CA7"/>
    <w:rsid w:val="00C67654"/>
    <w:rsid w:val="00CC2A9D"/>
    <w:rsid w:val="00D67B01"/>
    <w:rsid w:val="00DF478A"/>
    <w:rsid w:val="00F146F9"/>
    <w:rsid w:val="00FE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8725A"/>
  <w15:chartTrackingRefBased/>
  <w15:docId w15:val="{FDE05C63-2141-40F1-8147-7A0783F0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6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6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676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39"/>
    <w:rsid w:val="00C676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C67654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676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676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aliases w:val="Знак, Знак Знак Знак,Знак Знак Знак, Знак"/>
    <w:basedOn w:val="a"/>
    <w:link w:val="ab"/>
    <w:uiPriority w:val="99"/>
    <w:rsid w:val="006F1A75"/>
    <w:pPr>
      <w:jc w:val="center"/>
    </w:pPr>
    <w:rPr>
      <w:sz w:val="24"/>
      <w:szCs w:val="24"/>
    </w:rPr>
  </w:style>
  <w:style w:type="character" w:customStyle="1" w:styleId="ab">
    <w:name w:val="Основной текст Знак"/>
    <w:aliases w:val="Знак Знак, Знак Знак Знак Знак,Знак Знак Знак Знак, Знак Знак"/>
    <w:basedOn w:val="a0"/>
    <w:link w:val="aa"/>
    <w:uiPriority w:val="99"/>
    <w:rsid w:val="006F1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Ostaltsev Leonid</dc:creator>
  <cp:keywords/>
  <dc:description/>
  <cp:lastModifiedBy>Nazarova Uliyana</cp:lastModifiedBy>
  <cp:revision>19</cp:revision>
  <dcterms:created xsi:type="dcterms:W3CDTF">2021-11-02T06:00:00Z</dcterms:created>
  <dcterms:modified xsi:type="dcterms:W3CDTF">2023-01-09T02:22:00Z</dcterms:modified>
</cp:coreProperties>
</file>